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55FA" w14:textId="4CB26845" w:rsidR="00600A2A" w:rsidRPr="00407FC7" w:rsidRDefault="00600A2A" w:rsidP="00407FC7">
      <w:pPr>
        <w:shd w:val="clear" w:color="auto" w:fill="FFFFFF"/>
        <w:ind w:right="240"/>
        <w:rPr>
          <w:rFonts w:asciiTheme="minorHAnsi" w:hAnsiTheme="minorHAnsi" w:cstheme="minorHAnsi"/>
          <w:color w:val="A6A6A6"/>
          <w:sz w:val="22"/>
          <w:szCs w:val="22"/>
        </w:rPr>
      </w:pPr>
      <w:r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TISKOVÁ ZPRÁVA ZE DNE </w:t>
      </w:r>
      <w:r w:rsidR="00734CDA">
        <w:rPr>
          <w:rFonts w:asciiTheme="minorHAnsi" w:hAnsiTheme="minorHAnsi" w:cstheme="minorHAnsi"/>
          <w:b/>
          <w:bCs/>
          <w:color w:val="A6A6A6"/>
          <w:sz w:val="22"/>
          <w:szCs w:val="22"/>
        </w:rPr>
        <w:t>3</w:t>
      </w:r>
      <w:r w:rsidR="0028269B"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. </w:t>
      </w:r>
      <w:r w:rsidR="00734CDA">
        <w:rPr>
          <w:rFonts w:asciiTheme="minorHAnsi" w:hAnsiTheme="minorHAnsi" w:cstheme="minorHAnsi"/>
          <w:b/>
          <w:bCs/>
          <w:color w:val="A6A6A6"/>
          <w:sz w:val="22"/>
          <w:szCs w:val="22"/>
        </w:rPr>
        <w:t>10</w:t>
      </w:r>
      <w:r w:rsidR="00EB46CD"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>.</w:t>
      </w:r>
      <w:r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 202</w:t>
      </w:r>
      <w:r w:rsidR="00B11477"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>2</w:t>
      </w:r>
      <w:r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>/</w:t>
      </w:r>
      <w:r w:rsidR="000B21B4">
        <w:rPr>
          <w:rFonts w:asciiTheme="minorHAnsi" w:hAnsiTheme="minorHAnsi" w:cstheme="minorHAnsi"/>
          <w:b/>
          <w:bCs/>
          <w:color w:val="A6A6A6"/>
          <w:sz w:val="22"/>
          <w:szCs w:val="22"/>
        </w:rPr>
        <w:t>14</w:t>
      </w:r>
      <w:r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>:</w:t>
      </w:r>
      <w:r w:rsidR="00D50E7B">
        <w:rPr>
          <w:rFonts w:asciiTheme="minorHAnsi" w:hAnsiTheme="minorHAnsi" w:cstheme="minorHAnsi"/>
          <w:b/>
          <w:bCs/>
          <w:color w:val="A6A6A6"/>
          <w:sz w:val="22"/>
          <w:szCs w:val="22"/>
        </w:rPr>
        <w:t>3</w:t>
      </w:r>
      <w:r w:rsidR="00DE626C">
        <w:rPr>
          <w:rFonts w:asciiTheme="minorHAnsi" w:hAnsiTheme="minorHAnsi" w:cstheme="minorHAnsi"/>
          <w:b/>
          <w:bCs/>
          <w:color w:val="A6A6A6"/>
          <w:sz w:val="22"/>
          <w:szCs w:val="22"/>
        </w:rPr>
        <w:t>0</w:t>
      </w:r>
      <w:r w:rsidRPr="00407FC7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 HODIN</w:t>
      </w:r>
    </w:p>
    <w:p w14:paraId="5BC32465" w14:textId="77777777" w:rsidR="00600A2A" w:rsidRPr="00407FC7" w:rsidRDefault="00600A2A" w:rsidP="00407FC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07FC7">
        <w:rPr>
          <w:rFonts w:asciiTheme="minorHAnsi" w:hAnsiTheme="minorHAnsi" w:cstheme="minorHAnsi"/>
          <w:color w:val="A6A6A6"/>
          <w:sz w:val="22"/>
          <w:szCs w:val="22"/>
        </w:rPr>
        <w:t>----------------------------------------------------------------------</w:t>
      </w:r>
      <w:r w:rsidRPr="00407F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5828F4" w14:textId="739970E6" w:rsidR="005F7A22" w:rsidRPr="00407FC7" w:rsidRDefault="009826B6" w:rsidP="00407FC7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Výstavba v </w:t>
      </w:r>
      <w:r w:rsidR="00A459F3" w:rsidRPr="00407F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nemocnicích Krajské zdravotní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pokračuje dle plánu, ujistilo se vedení společnosti</w:t>
      </w:r>
    </w:p>
    <w:p w14:paraId="5911D063" w14:textId="56CDCE15" w:rsidR="00106130" w:rsidRDefault="002C276B" w:rsidP="00407FC7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07FC7">
        <w:rPr>
          <w:rFonts w:asciiTheme="minorHAnsi" w:hAnsiTheme="minorHAnsi" w:cstheme="minorHAnsi"/>
          <w:b/>
          <w:bCs/>
          <w:sz w:val="22"/>
          <w:szCs w:val="22"/>
        </w:rPr>
        <w:t xml:space="preserve">ýznamné investiční akce v děčínské, ústecké a chomutovské nemocnici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Krajské zdravotní, a.s., (KZ) navštívil </w:t>
      </w:r>
      <w:r w:rsidR="00771E76">
        <w:rPr>
          <w:rFonts w:asciiTheme="minorHAnsi" w:hAnsiTheme="minorHAnsi" w:cstheme="minorHAnsi"/>
          <w:b/>
          <w:bCs/>
          <w:sz w:val="22"/>
          <w:szCs w:val="22"/>
        </w:rPr>
        <w:t xml:space="preserve">krajský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9826B6">
        <w:rPr>
          <w:rFonts w:asciiTheme="minorHAnsi" w:hAnsiTheme="minorHAnsi" w:cstheme="minorHAnsi"/>
          <w:b/>
          <w:bCs/>
          <w:sz w:val="22"/>
          <w:szCs w:val="22"/>
        </w:rPr>
        <w:t xml:space="preserve">adní pro oblast zdravotnictví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Ing. </w:t>
      </w:r>
      <w:r w:rsidR="009826B6">
        <w:rPr>
          <w:rFonts w:asciiTheme="minorHAnsi" w:hAnsiTheme="minorHAnsi" w:cstheme="minorHAnsi"/>
          <w:b/>
          <w:bCs/>
          <w:sz w:val="22"/>
          <w:szCs w:val="22"/>
        </w:rPr>
        <w:t>Radim Laibl</w:t>
      </w:r>
      <w:r w:rsidR="00407FC7" w:rsidRPr="00407FC7">
        <w:rPr>
          <w:rFonts w:asciiTheme="minorHAnsi" w:hAnsiTheme="minorHAnsi" w:cstheme="minorHAnsi"/>
          <w:b/>
          <w:bCs/>
          <w:sz w:val="22"/>
          <w:szCs w:val="22"/>
        </w:rPr>
        <w:t xml:space="preserve"> spolu s předsedou představenstva </w:t>
      </w:r>
      <w:r w:rsidR="00771E76">
        <w:rPr>
          <w:rFonts w:asciiTheme="minorHAnsi" w:hAnsiTheme="minorHAnsi" w:cstheme="minorHAnsi"/>
          <w:b/>
          <w:bCs/>
          <w:sz w:val="22"/>
          <w:szCs w:val="22"/>
        </w:rPr>
        <w:t>KZ MUDr. Ondřejem Štěrbou,</w:t>
      </w:r>
      <w:r w:rsidR="00407FC7" w:rsidRPr="00407F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26B6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="0035184F">
        <w:rPr>
          <w:rFonts w:asciiTheme="minorHAnsi" w:hAnsiTheme="minorHAnsi" w:cstheme="minorHAnsi"/>
          <w:b/>
          <w:bCs/>
          <w:sz w:val="22"/>
          <w:szCs w:val="22"/>
        </w:rPr>
        <w:t>leny</w:t>
      </w:r>
      <w:r w:rsidR="00407FC7" w:rsidRPr="00407FC7">
        <w:rPr>
          <w:rFonts w:asciiTheme="minorHAnsi" w:hAnsiTheme="minorHAnsi" w:cstheme="minorHAnsi"/>
          <w:b/>
          <w:bCs/>
          <w:sz w:val="22"/>
          <w:szCs w:val="22"/>
        </w:rPr>
        <w:t xml:space="preserve"> představenstva společnosti </w:t>
      </w:r>
      <w:r w:rsidR="0035184F">
        <w:rPr>
          <w:rFonts w:asciiTheme="minorHAnsi" w:hAnsiTheme="minorHAnsi" w:cstheme="minorHAnsi"/>
          <w:b/>
          <w:bCs/>
          <w:sz w:val="22"/>
          <w:szCs w:val="22"/>
        </w:rPr>
        <w:t xml:space="preserve">Ing. Stanislavem Dostálem a Ing. </w:t>
      </w:r>
      <w:r w:rsidR="009826B6">
        <w:rPr>
          <w:rFonts w:asciiTheme="minorHAnsi" w:hAnsiTheme="minorHAnsi" w:cstheme="minorHAnsi"/>
          <w:b/>
          <w:bCs/>
          <w:sz w:val="22"/>
          <w:szCs w:val="22"/>
        </w:rPr>
        <w:t>Jakubem Komárkem</w:t>
      </w:r>
      <w:r w:rsidR="00771E76">
        <w:rPr>
          <w:rFonts w:asciiTheme="minorHAnsi" w:hAnsiTheme="minorHAnsi" w:cstheme="minorHAnsi"/>
          <w:b/>
          <w:bCs/>
          <w:sz w:val="22"/>
          <w:szCs w:val="22"/>
        </w:rPr>
        <w:t>, generálním ředitelem KZ MUDr</w:t>
      </w:r>
      <w:r w:rsidR="00FB163A">
        <w:rPr>
          <w:rFonts w:asciiTheme="minorHAnsi" w:hAnsiTheme="minorHAnsi" w:cstheme="minorHAnsi"/>
          <w:b/>
          <w:bCs/>
          <w:sz w:val="22"/>
          <w:szCs w:val="22"/>
        </w:rPr>
        <w:t>. Petrem Malým, MBA</w:t>
      </w:r>
      <w:r w:rsidR="00771E7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B163A">
        <w:rPr>
          <w:rFonts w:asciiTheme="minorHAnsi" w:hAnsiTheme="minorHAnsi" w:cstheme="minorHAnsi"/>
          <w:b/>
          <w:bCs/>
          <w:sz w:val="22"/>
          <w:szCs w:val="22"/>
        </w:rPr>
        <w:t xml:space="preserve"> a řediteli jednotlivých nemocnic</w:t>
      </w:r>
      <w:r w:rsidR="00771E7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7F50974" w14:textId="3FF51DBC" w:rsidR="00407FC7" w:rsidRDefault="00407FC7" w:rsidP="006E2CFA">
      <w:pPr>
        <w:pStyle w:val="Prosttext"/>
        <w:spacing w:before="120"/>
        <w:rPr>
          <w:rFonts w:asciiTheme="minorHAnsi" w:hAnsiTheme="minorHAnsi"/>
          <w:bCs/>
          <w:sz w:val="22"/>
          <w:szCs w:val="22"/>
        </w:rPr>
      </w:pPr>
      <w:r w:rsidRPr="001764E5">
        <w:rPr>
          <w:rFonts w:asciiTheme="minorHAnsi" w:hAnsiTheme="minorHAnsi" w:cstheme="minorHAnsi"/>
          <w:sz w:val="22"/>
          <w:szCs w:val="22"/>
        </w:rPr>
        <w:t xml:space="preserve">Výstavba pavilonu </w:t>
      </w:r>
      <w:r w:rsidR="00B128F8" w:rsidRPr="001764E5">
        <w:rPr>
          <w:rFonts w:asciiTheme="minorHAnsi" w:hAnsiTheme="minorHAnsi" w:cstheme="minorHAnsi"/>
          <w:sz w:val="22"/>
          <w:szCs w:val="22"/>
        </w:rPr>
        <w:t xml:space="preserve">v areálu Masarykovy nemocnice v Ústí nad Labem, o.z., </w:t>
      </w:r>
      <w:r w:rsidRPr="001764E5">
        <w:rPr>
          <w:rFonts w:asciiTheme="minorHAnsi" w:hAnsiTheme="minorHAnsi" w:cstheme="minorHAnsi"/>
          <w:sz w:val="22"/>
          <w:szCs w:val="22"/>
        </w:rPr>
        <w:t>s cenou díla dle veřejné zakázky 1 397 493 298 Kč včetně DPH</w:t>
      </w:r>
      <w:r w:rsidR="00365C49">
        <w:rPr>
          <w:rFonts w:asciiTheme="minorHAnsi" w:hAnsiTheme="minorHAnsi" w:cstheme="minorHAnsi"/>
          <w:sz w:val="22"/>
          <w:szCs w:val="22"/>
        </w:rPr>
        <w:t>,</w:t>
      </w:r>
      <w:r w:rsidRPr="001764E5">
        <w:rPr>
          <w:rFonts w:asciiTheme="minorHAnsi" w:hAnsiTheme="minorHAnsi" w:cstheme="minorHAnsi"/>
          <w:sz w:val="22"/>
          <w:szCs w:val="22"/>
        </w:rPr>
        <w:t xml:space="preserve"> bude probíhat do 20. 12. 2023. Předmětem investičního záměru je nový </w:t>
      </w:r>
      <w:r w:rsidRPr="001764E5">
        <w:rPr>
          <w:rFonts w:asciiTheme="minorHAnsi" w:hAnsiTheme="minorHAnsi" w:cstheme="minorHAnsi"/>
          <w:bCs/>
          <w:sz w:val="22"/>
          <w:szCs w:val="22"/>
        </w:rPr>
        <w:t>pavilon s operačními sály, odděleními JIP a standardními lůžkovými odděleními vč</w:t>
      </w:r>
      <w:r w:rsidR="0035184F">
        <w:rPr>
          <w:rFonts w:asciiTheme="minorHAnsi" w:hAnsiTheme="minorHAnsi" w:cstheme="minorHAnsi"/>
          <w:bCs/>
          <w:sz w:val="22"/>
          <w:szCs w:val="22"/>
        </w:rPr>
        <w:t>etně</w:t>
      </w:r>
      <w:r w:rsidRPr="001764E5">
        <w:rPr>
          <w:rFonts w:asciiTheme="minorHAnsi" w:hAnsiTheme="minorHAnsi" w:cstheme="minorHAnsi"/>
          <w:bCs/>
          <w:sz w:val="22"/>
          <w:szCs w:val="22"/>
        </w:rPr>
        <w:t xml:space="preserve"> umístění kardiochirurgie</w:t>
      </w:r>
      <w:r w:rsidRPr="001764E5">
        <w:rPr>
          <w:rFonts w:asciiTheme="minorHAnsi" w:hAnsiTheme="minorHAnsi" w:cstheme="minorHAnsi"/>
          <w:sz w:val="22"/>
          <w:szCs w:val="22"/>
        </w:rPr>
        <w:t>. V objektu je navrženo celkem 12 nových operačních sálů</w:t>
      </w:r>
      <w:r w:rsidRPr="001764E5">
        <w:rPr>
          <w:rFonts w:asciiTheme="minorHAnsi" w:hAnsiTheme="minorHAnsi" w:cstheme="minorHAnsi"/>
          <w:color w:val="1F497D"/>
          <w:sz w:val="22"/>
          <w:szCs w:val="22"/>
        </w:rPr>
        <w:t xml:space="preserve">, </w:t>
      </w:r>
      <w:r w:rsidRPr="001764E5">
        <w:rPr>
          <w:rFonts w:asciiTheme="minorHAnsi" w:hAnsiTheme="minorHAnsi" w:cstheme="minorHAnsi"/>
          <w:sz w:val="22"/>
          <w:szCs w:val="22"/>
        </w:rPr>
        <w:t>54 lůžek pro intenzivní či intermediární péči, 70 standardních lůžek a 11 ambulancí. Dále nezbytné technické a administrativní zázemí včetně např</w:t>
      </w:r>
      <w:r w:rsidR="006579B7">
        <w:rPr>
          <w:rFonts w:asciiTheme="minorHAnsi" w:hAnsiTheme="minorHAnsi" w:cstheme="minorHAnsi"/>
          <w:sz w:val="22"/>
          <w:szCs w:val="22"/>
        </w:rPr>
        <w:t>íklad</w:t>
      </w:r>
      <w:r w:rsidRPr="001764E5">
        <w:rPr>
          <w:rFonts w:asciiTheme="minorHAnsi" w:hAnsiTheme="minorHAnsi" w:cstheme="minorHAnsi"/>
          <w:sz w:val="22"/>
          <w:szCs w:val="22"/>
        </w:rPr>
        <w:t xml:space="preserve"> nového centrálního dispečinku pro sanitáře. Nový pavilon bude sloužit zejména pro ústecké Kardiocentrum, dále pak pro oddělení Centrálních operačních sálů, </w:t>
      </w:r>
      <w:r w:rsidR="00365C49" w:rsidRPr="001764E5">
        <w:rPr>
          <w:rFonts w:asciiTheme="minorHAnsi" w:hAnsiTheme="minorHAnsi" w:cstheme="minorHAnsi"/>
          <w:sz w:val="22"/>
          <w:szCs w:val="22"/>
        </w:rPr>
        <w:t>Klinik</w:t>
      </w:r>
      <w:r w:rsidR="00365C49">
        <w:rPr>
          <w:rFonts w:asciiTheme="minorHAnsi" w:hAnsiTheme="minorHAnsi" w:cstheme="minorHAnsi"/>
          <w:sz w:val="22"/>
          <w:szCs w:val="22"/>
        </w:rPr>
        <w:t>u</w:t>
      </w:r>
      <w:r w:rsidR="00365C49" w:rsidRPr="001764E5">
        <w:rPr>
          <w:rFonts w:asciiTheme="minorHAnsi" w:hAnsiTheme="minorHAnsi" w:cstheme="minorHAnsi"/>
          <w:sz w:val="22"/>
          <w:szCs w:val="22"/>
        </w:rPr>
        <w:t xml:space="preserve"> anesteziologie, perioperační a intenzivní medicíny </w:t>
      </w:r>
      <w:r w:rsidRPr="001764E5">
        <w:rPr>
          <w:rFonts w:asciiTheme="minorHAnsi" w:hAnsiTheme="minorHAnsi" w:cstheme="minorHAnsi"/>
          <w:sz w:val="22"/>
          <w:szCs w:val="22"/>
        </w:rPr>
        <w:t>a Oddělení hrudní chirurgie.</w:t>
      </w:r>
      <w:r w:rsidR="00061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AC30A" w14:textId="0099882C" w:rsidR="00193E8D" w:rsidRPr="006E2CFA" w:rsidRDefault="00614E26" w:rsidP="006E2CFA">
      <w:pPr>
        <w:pStyle w:val="Prosttext"/>
        <w:spacing w:before="120"/>
        <w:rPr>
          <w:rFonts w:asciiTheme="minorHAnsi" w:hAnsiTheme="minorHAnsi" w:cstheme="minorHAnsi"/>
          <w:sz w:val="22"/>
          <w:szCs w:val="22"/>
        </w:rPr>
      </w:pPr>
      <w:r w:rsidRPr="006E2CFA">
        <w:rPr>
          <w:rFonts w:asciiTheme="minorHAnsi" w:hAnsiTheme="minorHAnsi"/>
          <w:bCs/>
          <w:sz w:val="22"/>
          <w:szCs w:val="22"/>
        </w:rPr>
        <w:t xml:space="preserve">„Investiční akce takového rozsahu </w:t>
      </w:r>
      <w:r w:rsidR="00771E76">
        <w:rPr>
          <w:rFonts w:asciiTheme="minorHAnsi" w:hAnsiTheme="minorHAnsi"/>
          <w:bCs/>
          <w:sz w:val="22"/>
          <w:szCs w:val="22"/>
        </w:rPr>
        <w:t xml:space="preserve">nemají </w:t>
      </w:r>
      <w:r w:rsidRPr="006E2CFA">
        <w:rPr>
          <w:rFonts w:asciiTheme="minorHAnsi" w:hAnsiTheme="minorHAnsi"/>
          <w:bCs/>
          <w:sz w:val="22"/>
          <w:szCs w:val="22"/>
        </w:rPr>
        <w:t xml:space="preserve">v rámci Krajské zdravotní obdoby. </w:t>
      </w:r>
      <w:r w:rsidR="00771E76">
        <w:rPr>
          <w:rFonts w:asciiTheme="minorHAnsi" w:hAnsiTheme="minorHAnsi"/>
          <w:bCs/>
          <w:sz w:val="22"/>
          <w:szCs w:val="22"/>
        </w:rPr>
        <w:t xml:space="preserve">Dostavba tří nemocnic, které jsme nyní svědky, představuje </w:t>
      </w:r>
      <w:r w:rsidRPr="006E2CFA">
        <w:rPr>
          <w:rFonts w:asciiTheme="minorHAnsi" w:hAnsiTheme="minorHAnsi"/>
          <w:bCs/>
          <w:sz w:val="22"/>
          <w:szCs w:val="22"/>
        </w:rPr>
        <w:t>významné zkvalitnění zdravotní péče</w:t>
      </w:r>
      <w:r w:rsidR="00771E76">
        <w:rPr>
          <w:rFonts w:asciiTheme="minorHAnsi" w:hAnsiTheme="minorHAnsi"/>
          <w:bCs/>
          <w:sz w:val="22"/>
          <w:szCs w:val="22"/>
        </w:rPr>
        <w:t xml:space="preserve"> pro obyvatele Ústeckého kraje,“ </w:t>
      </w:r>
      <w:r w:rsidR="0035184F">
        <w:rPr>
          <w:rFonts w:asciiTheme="minorHAnsi" w:hAnsiTheme="minorHAnsi"/>
          <w:bCs/>
          <w:sz w:val="22"/>
          <w:szCs w:val="22"/>
        </w:rPr>
        <w:t>uvádí</w:t>
      </w:r>
      <w:r w:rsidRPr="006E2CFA">
        <w:rPr>
          <w:rFonts w:asciiTheme="minorHAnsi" w:hAnsiTheme="minorHAnsi"/>
          <w:bCs/>
          <w:sz w:val="22"/>
          <w:szCs w:val="22"/>
        </w:rPr>
        <w:t xml:space="preserve"> k probíhajícím aktivitám </w:t>
      </w:r>
      <w:r w:rsidR="00771E76">
        <w:rPr>
          <w:rFonts w:asciiTheme="minorHAnsi" w:hAnsiTheme="minorHAnsi"/>
          <w:bCs/>
          <w:sz w:val="22"/>
          <w:szCs w:val="22"/>
        </w:rPr>
        <w:t>radní Ústeckého kraje pro oblast zdravotnictví Ing. Radim Laibl.</w:t>
      </w:r>
    </w:p>
    <w:p w14:paraId="23490F71" w14:textId="62A7CF02" w:rsidR="005F0D72" w:rsidRDefault="00407FC7" w:rsidP="00061C37">
      <w:pPr>
        <w:pStyle w:val="Prost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1764E5">
        <w:rPr>
          <w:rFonts w:asciiTheme="minorHAnsi" w:hAnsiTheme="minorHAnsi" w:cstheme="minorHAnsi"/>
          <w:sz w:val="22"/>
          <w:szCs w:val="22"/>
        </w:rPr>
        <w:t xml:space="preserve">Výstavba pavilonu s cenou díla dle veřejné zakázky za téměř 784,5 milionu Kč včetně DPH bude probíhat v areálu Nemocnice Děčín, o.z., do poloviny prosince 2023. </w:t>
      </w:r>
      <w:r w:rsidR="00365C49">
        <w:rPr>
          <w:rFonts w:asciiTheme="minorHAnsi" w:hAnsiTheme="minorHAnsi" w:cstheme="minorHAnsi"/>
          <w:sz w:val="22"/>
          <w:szCs w:val="22"/>
        </w:rPr>
        <w:t xml:space="preserve">Předmětem </w:t>
      </w:r>
      <w:r w:rsidRPr="001764E5">
        <w:rPr>
          <w:rFonts w:asciiTheme="minorHAnsi" w:hAnsiTheme="minorHAnsi" w:cstheme="minorHAnsi"/>
          <w:sz w:val="22"/>
          <w:szCs w:val="22"/>
        </w:rPr>
        <w:t xml:space="preserve">investičního záměru je nový objekt tvořící přístavbu ke stávajícímu pavilonu „E“. Jedná se o I. etapu dostavby </w:t>
      </w:r>
      <w:r w:rsidR="00365C49">
        <w:rPr>
          <w:rFonts w:asciiTheme="minorHAnsi" w:hAnsiTheme="minorHAnsi" w:cstheme="minorHAnsi"/>
          <w:sz w:val="22"/>
          <w:szCs w:val="22"/>
        </w:rPr>
        <w:t>děčínské nemocnice</w:t>
      </w:r>
      <w:r w:rsidRPr="001764E5">
        <w:rPr>
          <w:rFonts w:asciiTheme="minorHAnsi" w:hAnsiTheme="minorHAnsi" w:cstheme="minorHAnsi"/>
          <w:sz w:val="22"/>
          <w:szCs w:val="22"/>
        </w:rPr>
        <w:t>, jejíž součástí je demolice stávajících objektů, výstavba nového pavilonu Emergency, 4 operačních sálů, centrální steril</w:t>
      </w:r>
      <w:r w:rsidR="0035184F">
        <w:rPr>
          <w:rFonts w:asciiTheme="minorHAnsi" w:hAnsiTheme="minorHAnsi" w:cstheme="minorHAnsi"/>
          <w:sz w:val="22"/>
          <w:szCs w:val="22"/>
        </w:rPr>
        <w:t>izace, jednotek intenzivní péče</w:t>
      </w:r>
      <w:r w:rsidRPr="001764E5">
        <w:rPr>
          <w:rFonts w:asciiTheme="minorHAnsi" w:hAnsiTheme="minorHAnsi" w:cstheme="minorHAnsi"/>
          <w:sz w:val="22"/>
          <w:szCs w:val="22"/>
        </w:rPr>
        <w:t xml:space="preserve"> a ARO. Dále modernizace energocentra – trafostanice včetně náhradního zdroje elektrické energie a výstavba patrového objektu pro parkování osobních automobilů.</w:t>
      </w:r>
      <w:r w:rsidR="00061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82A6C" w14:textId="1503FCBF" w:rsidR="00407FC7" w:rsidRDefault="00407FC7" w:rsidP="00407FC7">
      <w:pPr>
        <w:pStyle w:val="Prosttext"/>
        <w:spacing w:before="120"/>
        <w:rPr>
          <w:rFonts w:asciiTheme="minorHAnsi" w:hAnsiTheme="minorHAnsi" w:cstheme="minorHAnsi"/>
          <w:sz w:val="22"/>
          <w:szCs w:val="22"/>
        </w:rPr>
      </w:pPr>
      <w:r w:rsidRPr="001764E5">
        <w:rPr>
          <w:rFonts w:asciiTheme="minorHAnsi" w:hAnsiTheme="minorHAnsi" w:cstheme="minorHAnsi"/>
          <w:sz w:val="22"/>
          <w:szCs w:val="22"/>
        </w:rPr>
        <w:t xml:space="preserve">V děčínské nemocnici by výstavba měla pokračovat ještě druhou fází, při které vznikne nový </w:t>
      </w:r>
      <w:r w:rsidR="00614E26">
        <w:rPr>
          <w:rFonts w:asciiTheme="minorHAnsi" w:hAnsiTheme="minorHAnsi" w:cstheme="minorHAnsi"/>
          <w:sz w:val="22"/>
          <w:szCs w:val="22"/>
        </w:rPr>
        <w:t>P</w:t>
      </w:r>
      <w:r w:rsidRPr="001764E5">
        <w:rPr>
          <w:rFonts w:asciiTheme="minorHAnsi" w:hAnsiTheme="minorHAnsi" w:cstheme="minorHAnsi"/>
          <w:sz w:val="22"/>
          <w:szCs w:val="22"/>
        </w:rPr>
        <w:t>avilon péče o matku a dítě vč</w:t>
      </w:r>
      <w:r w:rsidR="00A62B36">
        <w:rPr>
          <w:rFonts w:asciiTheme="minorHAnsi" w:hAnsiTheme="minorHAnsi" w:cstheme="minorHAnsi"/>
          <w:sz w:val="22"/>
          <w:szCs w:val="22"/>
        </w:rPr>
        <w:t>etně</w:t>
      </w:r>
      <w:r w:rsidRPr="001764E5">
        <w:rPr>
          <w:rFonts w:asciiTheme="minorHAnsi" w:hAnsiTheme="minorHAnsi" w:cstheme="minorHAnsi"/>
          <w:sz w:val="22"/>
          <w:szCs w:val="22"/>
        </w:rPr>
        <w:t xml:space="preserve"> hemodialyzačního střediska a nadzemního propojovacího koridoru. </w:t>
      </w:r>
    </w:p>
    <w:p w14:paraId="08128F22" w14:textId="7CD32212" w:rsidR="00771E76" w:rsidRDefault="00771E76" w:rsidP="00771E76">
      <w:pPr>
        <w:pStyle w:val="Prosttext"/>
        <w:spacing w:before="120"/>
        <w:rPr>
          <w:rFonts w:asciiTheme="minorHAnsi" w:hAnsiTheme="minorHAnsi"/>
          <w:bCs/>
          <w:sz w:val="22"/>
          <w:szCs w:val="22"/>
        </w:rPr>
      </w:pPr>
      <w:r w:rsidRPr="006E2CFA">
        <w:rPr>
          <w:rFonts w:asciiTheme="minorHAnsi" w:hAnsiTheme="minorHAnsi"/>
          <w:bCs/>
          <w:sz w:val="22"/>
          <w:szCs w:val="22"/>
        </w:rPr>
        <w:t>„</w:t>
      </w:r>
      <w:r>
        <w:rPr>
          <w:rFonts w:asciiTheme="minorHAnsi" w:hAnsiTheme="minorHAnsi"/>
          <w:bCs/>
          <w:sz w:val="22"/>
          <w:szCs w:val="22"/>
        </w:rPr>
        <w:t>Probíhající investiční akce jsou pro Krajskou zdravotní absolutní prioritou</w:t>
      </w:r>
      <w:r w:rsidRPr="006E2CFA">
        <w:rPr>
          <w:rFonts w:asciiTheme="minorHAnsi" w:hAnsiTheme="minorHAnsi"/>
          <w:bCs/>
          <w:sz w:val="22"/>
          <w:szCs w:val="22"/>
        </w:rPr>
        <w:t xml:space="preserve">. </w:t>
      </w:r>
      <w:r w:rsidR="00A17C04">
        <w:rPr>
          <w:rFonts w:asciiTheme="minorHAnsi" w:hAnsiTheme="minorHAnsi"/>
          <w:bCs/>
          <w:sz w:val="22"/>
          <w:szCs w:val="22"/>
        </w:rPr>
        <w:t>Účelné d</w:t>
      </w:r>
      <w:r w:rsidR="0035184F">
        <w:rPr>
          <w:rFonts w:asciiTheme="minorHAnsi" w:hAnsiTheme="minorHAnsi"/>
          <w:bCs/>
          <w:sz w:val="22"/>
          <w:szCs w:val="22"/>
        </w:rPr>
        <w:t>ostavby</w:t>
      </w:r>
      <w:r w:rsidR="00A17C04">
        <w:rPr>
          <w:rFonts w:asciiTheme="minorHAnsi" w:hAnsiTheme="minorHAnsi"/>
          <w:bCs/>
          <w:sz w:val="22"/>
          <w:szCs w:val="22"/>
        </w:rPr>
        <w:t>, které ve třech z našich nemocnic v příštím roce dokončíme,</w:t>
      </w:r>
      <w:r w:rsidR="0035184F">
        <w:rPr>
          <w:rFonts w:asciiTheme="minorHAnsi" w:hAnsiTheme="minorHAnsi"/>
          <w:bCs/>
          <w:sz w:val="22"/>
          <w:szCs w:val="22"/>
        </w:rPr>
        <w:t xml:space="preserve"> posunou naši společnost a nemocnice kupředu a umožní tak pacientům využívat služby odpovídající 21. století. </w:t>
      </w:r>
      <w:r w:rsidRPr="006E2CFA">
        <w:rPr>
          <w:rFonts w:asciiTheme="minorHAnsi" w:hAnsiTheme="minorHAnsi"/>
          <w:bCs/>
          <w:sz w:val="22"/>
          <w:szCs w:val="22"/>
        </w:rPr>
        <w:t>Chtěl bych poděkovat zaměstnancům a také všem návštěvníkům našich nemocnic, že chápou omezení, která jsou v s</w:t>
      </w:r>
      <w:r w:rsidR="0035184F">
        <w:rPr>
          <w:rFonts w:asciiTheme="minorHAnsi" w:hAnsiTheme="minorHAnsi"/>
          <w:bCs/>
          <w:sz w:val="22"/>
          <w:szCs w:val="22"/>
        </w:rPr>
        <w:t>ouvislosti se stavbami nezbytná</w:t>
      </w:r>
      <w:r w:rsidR="00A17C04">
        <w:rPr>
          <w:rFonts w:asciiTheme="minorHAnsi" w:hAnsiTheme="minorHAnsi"/>
          <w:bCs/>
          <w:sz w:val="22"/>
          <w:szCs w:val="22"/>
        </w:rPr>
        <w:t xml:space="preserve">. Rád bych ale vyzdvihl i </w:t>
      </w:r>
      <w:r w:rsidR="00A17C04" w:rsidRPr="00A17C04">
        <w:rPr>
          <w:rFonts w:asciiTheme="minorHAnsi" w:hAnsiTheme="minorHAnsi"/>
          <w:bCs/>
          <w:sz w:val="22"/>
          <w:szCs w:val="22"/>
        </w:rPr>
        <w:t>nasazení stavebníků nejen při snaze o dodržování harmonogramu, ale i</w:t>
      </w:r>
      <w:r w:rsidR="00A17C04">
        <w:rPr>
          <w:rFonts w:asciiTheme="minorHAnsi" w:hAnsiTheme="minorHAnsi"/>
          <w:bCs/>
          <w:sz w:val="22"/>
          <w:szCs w:val="22"/>
        </w:rPr>
        <w:t xml:space="preserve"> jejich</w:t>
      </w:r>
      <w:r w:rsidR="004E58E2">
        <w:rPr>
          <w:rFonts w:asciiTheme="minorHAnsi" w:hAnsiTheme="minorHAnsi"/>
          <w:bCs/>
          <w:sz w:val="22"/>
          <w:szCs w:val="22"/>
        </w:rPr>
        <w:t xml:space="preserve"> spolupráci s vedením nemocnic</w:t>
      </w:r>
      <w:bookmarkStart w:id="0" w:name="_GoBack"/>
      <w:bookmarkEnd w:id="0"/>
      <w:r w:rsidR="00A17C04" w:rsidRPr="00A17C04">
        <w:rPr>
          <w:rFonts w:asciiTheme="minorHAnsi" w:hAnsiTheme="minorHAnsi"/>
          <w:bCs/>
          <w:sz w:val="22"/>
          <w:szCs w:val="22"/>
        </w:rPr>
        <w:t xml:space="preserve"> a </w:t>
      </w:r>
      <w:r w:rsidR="00A17C04">
        <w:rPr>
          <w:rFonts w:asciiTheme="minorHAnsi" w:hAnsiTheme="minorHAnsi"/>
          <w:bCs/>
          <w:sz w:val="22"/>
          <w:szCs w:val="22"/>
        </w:rPr>
        <w:t>Krajské zdravotní</w:t>
      </w:r>
      <w:r w:rsidRPr="006E2CFA">
        <w:rPr>
          <w:rFonts w:asciiTheme="minorHAnsi" w:hAnsiTheme="minorHAnsi"/>
          <w:bCs/>
          <w:sz w:val="22"/>
          <w:szCs w:val="22"/>
        </w:rPr>
        <w:t>,“ říká MUDr. Ondřej Štěrba, předseda představenstva Krajské zdravotní, a.s.</w:t>
      </w:r>
    </w:p>
    <w:p w14:paraId="352EF65D" w14:textId="2F9EC439" w:rsidR="005F0D72" w:rsidRDefault="006579B7" w:rsidP="00061C37">
      <w:pPr>
        <w:pStyle w:val="Prosttext"/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areálu Nemocnice Chomutov, o.z., bude v</w:t>
      </w:r>
      <w:r w:rsidR="00407FC7" w:rsidRPr="001764E5">
        <w:rPr>
          <w:rFonts w:asciiTheme="minorHAnsi" w:hAnsiTheme="minorHAnsi" w:cstheme="minorHAnsi"/>
          <w:sz w:val="22"/>
          <w:szCs w:val="22"/>
        </w:rPr>
        <w:t>ýstavba pavilonu s cenou díla dle veřejné zakázky 833 862 444 milionů Kč včetně DPH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7FC7" w:rsidRPr="001764E5">
        <w:rPr>
          <w:rFonts w:asciiTheme="minorHAnsi" w:hAnsiTheme="minorHAnsi" w:cstheme="minorHAnsi"/>
          <w:sz w:val="22"/>
          <w:szCs w:val="22"/>
        </w:rPr>
        <w:t xml:space="preserve">probíhat do poloviny prosince roku 2023. Předmětem investičního záměru je výstavba nového pavilonu s urgentním příjmem, </w:t>
      </w:r>
      <w:r w:rsidR="00F45E43">
        <w:rPr>
          <w:rFonts w:asciiTheme="minorHAnsi" w:hAnsiTheme="minorHAnsi" w:cstheme="minorHAnsi"/>
          <w:sz w:val="22"/>
          <w:szCs w:val="22"/>
        </w:rPr>
        <w:t>centrálních o</w:t>
      </w:r>
      <w:r w:rsidR="00407FC7" w:rsidRPr="001764E5">
        <w:rPr>
          <w:rFonts w:asciiTheme="minorHAnsi" w:hAnsiTheme="minorHAnsi" w:cstheme="minorHAnsi"/>
          <w:sz w:val="22"/>
          <w:szCs w:val="22"/>
        </w:rPr>
        <w:t>peračních sálů, centrální sterilizace, JIP</w:t>
      </w:r>
      <w:r w:rsidR="00F45E43">
        <w:rPr>
          <w:rFonts w:asciiTheme="minorHAnsi" w:hAnsiTheme="minorHAnsi" w:cstheme="minorHAnsi"/>
          <w:sz w:val="22"/>
          <w:szCs w:val="22"/>
        </w:rPr>
        <w:t>, ARO</w:t>
      </w:r>
      <w:r w:rsidR="00407FC7" w:rsidRPr="001764E5">
        <w:rPr>
          <w:rFonts w:asciiTheme="minorHAnsi" w:hAnsiTheme="minorHAnsi" w:cstheme="minorHAnsi"/>
          <w:sz w:val="22"/>
          <w:szCs w:val="22"/>
        </w:rPr>
        <w:t xml:space="preserve"> a technickým a administrativním zázemím, a to v návaznosti na stávající pavilon C. Novostavba je navržena jako samostatně stojící objekt, avšak s provozním a technickým propojením na stávající pavilon C vč. nadzemního spojovacího koridoru na stávající pavilon D. </w:t>
      </w:r>
    </w:p>
    <w:p w14:paraId="5A7DD0EF" w14:textId="77777777" w:rsidR="0035184F" w:rsidRDefault="0035184F" w:rsidP="0035184F">
      <w:pPr>
        <w:pStyle w:val="Prosttex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„Dění na </w:t>
      </w:r>
      <w:r w:rsidR="00771E76" w:rsidRPr="006E2CFA">
        <w:rPr>
          <w:rFonts w:asciiTheme="minorHAnsi" w:hAnsiTheme="minorHAnsi" w:cstheme="minorHAnsi"/>
          <w:sz w:val="22"/>
          <w:szCs w:val="22"/>
        </w:rPr>
        <w:t xml:space="preserve">stavbách </w:t>
      </w:r>
      <w:r>
        <w:rPr>
          <w:rFonts w:asciiTheme="minorHAnsi" w:hAnsiTheme="minorHAnsi" w:cstheme="minorHAnsi"/>
          <w:sz w:val="22"/>
          <w:szCs w:val="22"/>
        </w:rPr>
        <w:t>v areálech našich nemocnic bedlivě</w:t>
      </w:r>
      <w:r w:rsidR="00771E76" w:rsidRPr="006E2CFA">
        <w:rPr>
          <w:rFonts w:asciiTheme="minorHAnsi" w:hAnsiTheme="minorHAnsi" w:cstheme="minorHAnsi"/>
          <w:sz w:val="22"/>
          <w:szCs w:val="22"/>
        </w:rPr>
        <w:t xml:space="preserve"> sledujeme</w:t>
      </w:r>
      <w:r>
        <w:rPr>
          <w:rFonts w:asciiTheme="minorHAnsi" w:hAnsiTheme="minorHAnsi" w:cstheme="minorHAnsi"/>
          <w:sz w:val="22"/>
          <w:szCs w:val="22"/>
        </w:rPr>
        <w:t>. Dokončení investičních akcí dle časového harmonogramu je klíčové pro čerpání dotací. Jsme proto skutečně rádi, že dostavba pokračuje podle plánu,“ dodal generální ředitel KZ MUDr. Petr Malý, MBA.</w:t>
      </w:r>
    </w:p>
    <w:p w14:paraId="6B3F1A2A" w14:textId="27C5399E" w:rsidR="005F0D72" w:rsidRDefault="005F0D72" w:rsidP="0035184F">
      <w:pPr>
        <w:pStyle w:val="Prosttext"/>
        <w:spacing w:before="120"/>
        <w:rPr>
          <w:rFonts w:asciiTheme="minorHAnsi" w:hAnsiTheme="minorHAnsi" w:cstheme="minorHAnsi"/>
          <w:sz w:val="22"/>
          <w:szCs w:val="22"/>
        </w:rPr>
      </w:pPr>
      <w:r w:rsidRPr="001764E5">
        <w:rPr>
          <w:rFonts w:asciiTheme="minorHAnsi" w:hAnsiTheme="minorHAnsi" w:cstheme="minorHAnsi"/>
          <w:sz w:val="22"/>
          <w:szCs w:val="22"/>
        </w:rPr>
        <w:t>Investiční akce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1764E5">
        <w:rPr>
          <w:rFonts w:asciiTheme="minorHAnsi" w:hAnsiTheme="minorHAnsi" w:cstheme="minorHAnsi"/>
          <w:sz w:val="22"/>
          <w:szCs w:val="22"/>
        </w:rPr>
        <w:t xml:space="preserve"> částečně financován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764E5">
        <w:rPr>
          <w:rFonts w:asciiTheme="minorHAnsi" w:hAnsiTheme="minorHAnsi" w:cstheme="minorHAnsi"/>
          <w:sz w:val="22"/>
          <w:szCs w:val="22"/>
        </w:rPr>
        <w:t xml:space="preserve"> z dotačních zdrojů, a to konkrétně z </w:t>
      </w:r>
      <w:r>
        <w:rPr>
          <w:rFonts w:asciiTheme="minorHAnsi" w:hAnsiTheme="minorHAnsi" w:cstheme="minorHAnsi"/>
          <w:sz w:val="22"/>
          <w:szCs w:val="22"/>
        </w:rPr>
        <w:t>98. výzvy IROP</w:t>
      </w:r>
      <w:r w:rsidRPr="001764E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764E5">
        <w:rPr>
          <w:rFonts w:asciiTheme="minorHAnsi" w:hAnsiTheme="minorHAnsi" w:cstheme="minorHAnsi"/>
          <w:sz w:val="22"/>
          <w:szCs w:val="22"/>
        </w:rPr>
        <w:t xml:space="preserve"> finanční investiční podpory Ústeckého kraje, pro zajištění vyrovnaného cash flow Krajská zdravotní, a.s., </w:t>
      </w:r>
      <w:r w:rsidRPr="001764E5">
        <w:rPr>
          <w:rFonts w:asciiTheme="minorHAnsi" w:hAnsiTheme="minorHAnsi" w:cstheme="minorHAnsi"/>
          <w:sz w:val="22"/>
          <w:szCs w:val="22"/>
        </w:rPr>
        <w:lastRenderedPageBreak/>
        <w:t xml:space="preserve">využívá investiční úvěr od Komerční banky, a.s. </w:t>
      </w:r>
      <w:r>
        <w:rPr>
          <w:rFonts w:asciiTheme="minorHAnsi" w:hAnsiTheme="minorHAnsi" w:cstheme="minorHAnsi"/>
          <w:sz w:val="22"/>
          <w:szCs w:val="22"/>
        </w:rPr>
        <w:t xml:space="preserve">V případě výstavby v ústecké nemocnici činí dotace z IROP 500 milionů Kč, v Děčíně a Chomutově je to shodně po 150 milionech Kč. </w:t>
      </w:r>
    </w:p>
    <w:p w14:paraId="1CEFD7E2" w14:textId="6C315150" w:rsidR="005F7A22" w:rsidRPr="00407FC7" w:rsidRDefault="005F7A22" w:rsidP="006E2CFA">
      <w:pPr>
        <w:spacing w:before="240"/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</w:pPr>
      <w:r w:rsidRPr="00407FC7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Nový pavilon s operačními sály, odděleními JIP a standardními lůžkovými odděleními vč. umístění kardiochiru</w:t>
      </w:r>
      <w:r w:rsidR="00A62B36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rgie, Krajská zdravotní, a.s. –</w:t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 Masarykova nemocnice v Ústí nad Labem, o.z.</w:t>
      </w:r>
    </w:p>
    <w:p w14:paraId="3930D6D0" w14:textId="2F8D1E8B" w:rsidR="00034636" w:rsidRPr="00407FC7" w:rsidRDefault="005F7A22" w:rsidP="006E2CFA">
      <w:pPr>
        <w:pStyle w:val="Prosttext"/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>Předání staveniště:</w:t>
      </w:r>
      <w:r w:rsidRPr="00407F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1950" w:rsidRPr="00407FC7">
        <w:rPr>
          <w:rFonts w:asciiTheme="minorHAnsi" w:hAnsiTheme="minorHAnsi" w:cstheme="minorHAnsi"/>
          <w:i/>
          <w:sz w:val="22"/>
          <w:szCs w:val="22"/>
        </w:rPr>
        <w:t>29. 10. 2020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Doba realizace: </w:t>
      </w:r>
      <w:r w:rsidR="006C38AC" w:rsidRPr="00407FC7">
        <w:rPr>
          <w:rFonts w:asciiTheme="minorHAnsi" w:hAnsiTheme="minorHAnsi" w:cstheme="minorHAnsi"/>
          <w:i/>
          <w:sz w:val="22"/>
          <w:szCs w:val="22"/>
        </w:rPr>
        <w:t>do 20</w:t>
      </w:r>
      <w:r w:rsidRPr="00407FC7">
        <w:rPr>
          <w:rFonts w:asciiTheme="minorHAnsi" w:hAnsiTheme="minorHAnsi" w:cstheme="minorHAnsi"/>
          <w:i/>
          <w:sz w:val="22"/>
          <w:szCs w:val="22"/>
        </w:rPr>
        <w:t>. 12. 2023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Celková cena díla dle veřejné zakázky: </w:t>
      </w:r>
      <w:r w:rsidR="006C38AC" w:rsidRPr="00407FC7">
        <w:rPr>
          <w:rFonts w:asciiTheme="minorHAnsi" w:hAnsiTheme="minorHAnsi" w:cstheme="minorHAnsi"/>
          <w:i/>
          <w:sz w:val="22"/>
          <w:szCs w:val="22"/>
        </w:rPr>
        <w:t xml:space="preserve">1 397 493 297,69 </w:t>
      </w:r>
      <w:r w:rsidRPr="00407FC7">
        <w:rPr>
          <w:rFonts w:asciiTheme="minorHAnsi" w:hAnsiTheme="minorHAnsi" w:cstheme="minorHAnsi"/>
          <w:i/>
          <w:sz w:val="22"/>
          <w:szCs w:val="22"/>
        </w:rPr>
        <w:t>vč. DPH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Zhotovitel: </w:t>
      </w:r>
      <w:r w:rsidR="00034636" w:rsidRPr="00407FC7">
        <w:rPr>
          <w:rFonts w:asciiTheme="minorHAnsi" w:hAnsiTheme="minorHAnsi" w:cstheme="minorHAnsi"/>
          <w:i/>
          <w:sz w:val="22"/>
          <w:szCs w:val="22"/>
        </w:rPr>
        <w:t>sdružení společností s názvem „Společnost Metrostav – DIZ – BAK – NEPRO – Masarykova nemocnice“</w:t>
      </w:r>
    </w:p>
    <w:p w14:paraId="22EEAF6D" w14:textId="15307E35" w:rsidR="005F7A22" w:rsidRPr="00407FC7" w:rsidRDefault="005F7A22" w:rsidP="006E2CFA">
      <w:pPr>
        <w:pStyle w:val="Prosttext"/>
        <w:spacing w:before="20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>Nový pavilon Emergency vč</w:t>
      </w:r>
      <w:r w:rsidR="00A62B3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> operačních sálů, centrální sterilizace a jednotek intenzivní péče, Krajská zdravotní, a.s. – Nemocnice Děčín, o.z. (I. etapa)</w:t>
      </w:r>
    </w:p>
    <w:p w14:paraId="043988E7" w14:textId="1E852FB0" w:rsidR="005F7A22" w:rsidRPr="00407FC7" w:rsidRDefault="005F7A22" w:rsidP="006E2CFA">
      <w:pPr>
        <w:pStyle w:val="Prosttext"/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>Předání staveniště:</w:t>
      </w:r>
      <w:r w:rsidRPr="00407FC7">
        <w:rPr>
          <w:rFonts w:asciiTheme="minorHAnsi" w:hAnsiTheme="minorHAnsi" w:cstheme="minorHAnsi"/>
          <w:i/>
          <w:sz w:val="22"/>
          <w:szCs w:val="22"/>
        </w:rPr>
        <w:t xml:space="preserve"> 4. 10. 2021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Doba realizace: </w:t>
      </w:r>
      <w:r w:rsidRPr="00407FC7">
        <w:rPr>
          <w:rFonts w:asciiTheme="minorHAnsi" w:hAnsiTheme="minorHAnsi" w:cstheme="minorHAnsi"/>
          <w:i/>
          <w:sz w:val="22"/>
          <w:szCs w:val="22"/>
        </w:rPr>
        <w:t>do 15. 12. 2023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Celková cena díla dle veřejné zakázky: </w:t>
      </w:r>
      <w:r w:rsidRPr="00407FC7">
        <w:rPr>
          <w:rFonts w:asciiTheme="minorHAnsi" w:hAnsiTheme="minorHAnsi" w:cstheme="minorHAnsi"/>
          <w:i/>
          <w:sz w:val="22"/>
          <w:szCs w:val="22"/>
        </w:rPr>
        <w:t>784 406 795 Kč vč. DPH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Zhotovitel: </w:t>
      </w:r>
      <w:r w:rsidRPr="00407FC7">
        <w:rPr>
          <w:rFonts w:asciiTheme="minorHAnsi" w:hAnsiTheme="minorHAnsi" w:cstheme="minorHAnsi"/>
          <w:i/>
          <w:sz w:val="22"/>
          <w:szCs w:val="22"/>
        </w:rPr>
        <w:t>Sdružení firem VW WACHAL a.s. a Zlínstav a.s.</w:t>
      </w:r>
    </w:p>
    <w:p w14:paraId="5A8D44F3" w14:textId="77777777" w:rsidR="005723B3" w:rsidRPr="00407FC7" w:rsidRDefault="005723B3" w:rsidP="006E2CFA">
      <w:pPr>
        <w:pStyle w:val="Prosttext"/>
        <w:spacing w:before="20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>Nový pavilon péče o matku a dítě vč. hemodialyzačního střediska a nadzemního propojovacího koridoru, Krajská zdravotní, a.s. – Nemocnice Děčín, o. z. (II. etapa dostavby)</w:t>
      </w:r>
    </w:p>
    <w:p w14:paraId="5A8B800A" w14:textId="4DC1C689" w:rsidR="00C754E5" w:rsidRPr="00407FC7" w:rsidRDefault="005F7A22" w:rsidP="006E2CFA">
      <w:pPr>
        <w:pStyle w:val="Prosttext"/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407FC7">
        <w:rPr>
          <w:rFonts w:asciiTheme="minorHAnsi" w:hAnsiTheme="minorHAnsi" w:cstheme="minorHAnsi"/>
          <w:i/>
          <w:sz w:val="22"/>
          <w:szCs w:val="22"/>
        </w:rPr>
        <w:t xml:space="preserve">Předpokládané náklady </w:t>
      </w:r>
      <w:r w:rsidR="005723B3" w:rsidRPr="00407FC7">
        <w:rPr>
          <w:rFonts w:asciiTheme="minorHAnsi" w:hAnsiTheme="minorHAnsi" w:cstheme="minorHAnsi"/>
          <w:i/>
          <w:sz w:val="22"/>
          <w:szCs w:val="22"/>
        </w:rPr>
        <w:t>stavby</w:t>
      </w:r>
      <w:r w:rsidRPr="00407FC7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5723B3" w:rsidRPr="00407FC7">
        <w:rPr>
          <w:rFonts w:asciiTheme="minorHAnsi" w:hAnsiTheme="minorHAnsi" w:cstheme="minorHAnsi"/>
          <w:i/>
          <w:sz w:val="22"/>
          <w:szCs w:val="22"/>
        </w:rPr>
        <w:t xml:space="preserve">384 </w:t>
      </w:r>
      <w:r w:rsidRPr="00407FC7">
        <w:rPr>
          <w:rFonts w:asciiTheme="minorHAnsi" w:hAnsiTheme="minorHAnsi" w:cstheme="minorHAnsi"/>
          <w:i/>
          <w:sz w:val="22"/>
          <w:szCs w:val="22"/>
        </w:rPr>
        <w:t xml:space="preserve">milionů Kč včetně DPH (dle </w:t>
      </w:r>
      <w:r w:rsidR="005723B3" w:rsidRPr="00407FC7">
        <w:rPr>
          <w:rFonts w:asciiTheme="minorHAnsi" w:hAnsiTheme="minorHAnsi" w:cstheme="minorHAnsi"/>
          <w:i/>
          <w:sz w:val="22"/>
          <w:szCs w:val="22"/>
        </w:rPr>
        <w:t xml:space="preserve">rozpočtu </w:t>
      </w:r>
      <w:r w:rsidR="00C84122" w:rsidRPr="00407FC7">
        <w:rPr>
          <w:rFonts w:asciiTheme="minorHAnsi" w:hAnsiTheme="minorHAnsi" w:cstheme="minorHAnsi"/>
          <w:i/>
          <w:sz w:val="22"/>
          <w:szCs w:val="22"/>
        </w:rPr>
        <w:t>projektové dokumentace</w:t>
      </w:r>
      <w:r w:rsidR="005723B3" w:rsidRPr="00407FC7">
        <w:rPr>
          <w:rFonts w:asciiTheme="minorHAnsi" w:hAnsiTheme="minorHAnsi" w:cstheme="minorHAnsi"/>
          <w:i/>
          <w:sz w:val="22"/>
          <w:szCs w:val="22"/>
        </w:rPr>
        <w:t xml:space="preserve"> z r. 2021</w:t>
      </w:r>
      <w:r w:rsidRPr="00407FC7">
        <w:rPr>
          <w:rFonts w:asciiTheme="minorHAnsi" w:hAnsiTheme="minorHAnsi" w:cstheme="minorHAnsi"/>
          <w:i/>
          <w:sz w:val="22"/>
          <w:szCs w:val="22"/>
        </w:rPr>
        <w:t>)</w:t>
      </w:r>
      <w:r w:rsidR="000478A2">
        <w:rPr>
          <w:rFonts w:asciiTheme="minorHAnsi" w:hAnsiTheme="minorHAnsi" w:cstheme="minorHAnsi"/>
          <w:i/>
          <w:sz w:val="22"/>
          <w:szCs w:val="22"/>
        </w:rPr>
        <w:t>.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="00C754E5" w:rsidRPr="00407FC7">
        <w:rPr>
          <w:rFonts w:asciiTheme="minorHAnsi" w:hAnsiTheme="minorHAnsi" w:cstheme="minorHAnsi"/>
          <w:i/>
          <w:sz w:val="22"/>
          <w:szCs w:val="22"/>
        </w:rPr>
        <w:t>V současné době je</w:t>
      </w:r>
      <w:r w:rsidR="00041B2D" w:rsidRPr="00407FC7">
        <w:rPr>
          <w:rFonts w:asciiTheme="minorHAnsi" w:hAnsiTheme="minorHAnsi" w:cstheme="minorHAnsi"/>
          <w:i/>
          <w:sz w:val="22"/>
          <w:szCs w:val="22"/>
        </w:rPr>
        <w:t xml:space="preserve"> k předmětnému záměru</w:t>
      </w:r>
      <w:r w:rsidR="00C754E5" w:rsidRPr="00407F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86DC1" w:rsidRPr="00407FC7">
        <w:rPr>
          <w:rFonts w:asciiTheme="minorHAnsi" w:hAnsiTheme="minorHAnsi" w:cstheme="minorHAnsi"/>
          <w:i/>
          <w:sz w:val="22"/>
          <w:szCs w:val="22"/>
        </w:rPr>
        <w:t xml:space="preserve">již </w:t>
      </w:r>
      <w:r w:rsidR="00C754E5" w:rsidRPr="00407FC7">
        <w:rPr>
          <w:rFonts w:asciiTheme="minorHAnsi" w:hAnsiTheme="minorHAnsi" w:cstheme="minorHAnsi"/>
          <w:i/>
          <w:sz w:val="22"/>
          <w:szCs w:val="22"/>
        </w:rPr>
        <w:t xml:space="preserve">vydáno stavební povolení </w:t>
      </w:r>
      <w:r w:rsidR="00041B2D" w:rsidRPr="00407FC7">
        <w:rPr>
          <w:rFonts w:asciiTheme="minorHAnsi" w:hAnsiTheme="minorHAnsi" w:cstheme="minorHAnsi"/>
          <w:i/>
          <w:sz w:val="22"/>
          <w:szCs w:val="22"/>
        </w:rPr>
        <w:t>a</w:t>
      </w:r>
      <w:r w:rsidR="004F4C40" w:rsidRPr="00407F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41B2D" w:rsidRPr="00407FC7">
        <w:rPr>
          <w:rFonts w:asciiTheme="minorHAnsi" w:hAnsiTheme="minorHAnsi" w:cstheme="minorHAnsi"/>
          <w:i/>
          <w:sz w:val="22"/>
          <w:szCs w:val="22"/>
        </w:rPr>
        <w:t>d</w:t>
      </w:r>
      <w:r w:rsidR="004F4C40" w:rsidRPr="00407FC7">
        <w:rPr>
          <w:rFonts w:asciiTheme="minorHAnsi" w:hAnsiTheme="minorHAnsi" w:cstheme="minorHAnsi"/>
          <w:i/>
          <w:sz w:val="22"/>
          <w:szCs w:val="22"/>
        </w:rPr>
        <w:t>ále</w:t>
      </w:r>
      <w:r w:rsidR="00C754E5" w:rsidRPr="00407F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F4C40" w:rsidRPr="00407FC7">
        <w:rPr>
          <w:rFonts w:asciiTheme="minorHAnsi" w:hAnsiTheme="minorHAnsi" w:cstheme="minorHAnsi"/>
          <w:i/>
          <w:sz w:val="22"/>
          <w:szCs w:val="22"/>
        </w:rPr>
        <w:t xml:space="preserve">probíhají intenzivní jednání, a to jak s jediným akcionářem, tak interně v rámci vedení Krajské zdravotní, a.s. Hlavním bodem jednání je ujednotit se na takovém postupu, aby bylo zaručeno co nejvíce kontinuální a bezprostředně navazující zahájení druhé etapy v komplexní dostavbě strategické investice v děčínské nemocnici. Jde o jednu z hlavních priorit v rámci celé Krajské zdravotní, a.s. </w:t>
      </w:r>
    </w:p>
    <w:p w14:paraId="1227DA86" w14:textId="77777777" w:rsidR="005F7A22" w:rsidRPr="00407FC7" w:rsidRDefault="005F7A22" w:rsidP="006E2CFA">
      <w:pPr>
        <w:pStyle w:val="Prosttext"/>
        <w:spacing w:before="20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>Nový pavilon Emergency, COS, vč. JIP a nadzemní spojovací koridor se stávajícím pavilonem D, Krajská zdravotní, a.s. – Nemocnice Chomutov, o.z. – stavební práce II.</w:t>
      </w:r>
    </w:p>
    <w:p w14:paraId="6AE71C18" w14:textId="4C731138" w:rsidR="005F7A22" w:rsidRPr="00407FC7" w:rsidRDefault="005F7A22" w:rsidP="006E2CFA">
      <w:pPr>
        <w:pStyle w:val="Prosttext"/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>Předání staveniště:</w:t>
      </w:r>
      <w:r w:rsidRPr="00407FC7">
        <w:rPr>
          <w:rFonts w:asciiTheme="minorHAnsi" w:hAnsiTheme="minorHAnsi" w:cstheme="minorHAnsi"/>
          <w:i/>
          <w:sz w:val="22"/>
          <w:szCs w:val="22"/>
        </w:rPr>
        <w:t xml:space="preserve"> 23. 9. 2021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Doba realizace:  </w:t>
      </w:r>
      <w:r w:rsidRPr="00407FC7">
        <w:rPr>
          <w:rFonts w:asciiTheme="minorHAnsi" w:hAnsiTheme="minorHAnsi" w:cstheme="minorHAnsi"/>
          <w:i/>
          <w:sz w:val="22"/>
          <w:szCs w:val="22"/>
        </w:rPr>
        <w:t>do 15. 12. 2023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Celková cena díla dle VZ:   </w:t>
      </w:r>
      <w:r w:rsidRPr="00407FC7">
        <w:rPr>
          <w:rFonts w:asciiTheme="minorHAnsi" w:hAnsiTheme="minorHAnsi" w:cstheme="minorHAnsi"/>
          <w:i/>
          <w:sz w:val="22"/>
          <w:szCs w:val="22"/>
        </w:rPr>
        <w:t>833 862 444  Kč vč. DPH</w:t>
      </w:r>
      <w:r w:rsidR="00407FC7" w:rsidRPr="00407FC7">
        <w:rPr>
          <w:rFonts w:asciiTheme="minorHAnsi" w:hAnsiTheme="minorHAnsi" w:cstheme="minorHAnsi"/>
          <w:i/>
          <w:sz w:val="22"/>
          <w:szCs w:val="22"/>
        </w:rPr>
        <w:br/>
      </w:r>
      <w:r w:rsidRPr="00407F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Zhotovitel: </w:t>
      </w:r>
      <w:r w:rsidRPr="00407FC7">
        <w:rPr>
          <w:rFonts w:asciiTheme="minorHAnsi" w:hAnsiTheme="minorHAnsi" w:cstheme="minorHAnsi"/>
          <w:i/>
          <w:sz w:val="22"/>
          <w:szCs w:val="22"/>
        </w:rPr>
        <w:t xml:space="preserve">Společnost „Emergency Nemocnice Chomutov – OHL &amp; MQ“ </w:t>
      </w:r>
    </w:p>
    <w:p w14:paraId="3F2DC37F" w14:textId="43D670AB" w:rsidR="005F7A22" w:rsidRPr="00407FC7" w:rsidRDefault="005F7A22" w:rsidP="00407FC7">
      <w:pPr>
        <w:pStyle w:val="Prosttext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407FC7">
        <w:rPr>
          <w:rFonts w:asciiTheme="minorHAnsi" w:hAnsiTheme="minorHAnsi" w:cstheme="minorHAnsi"/>
          <w:b/>
          <w:noProof/>
          <w:sz w:val="22"/>
          <w:szCs w:val="22"/>
          <w:lang w:eastAsia="cs-CZ"/>
        </w:rPr>
        <w:drawing>
          <wp:inline distT="0" distB="0" distL="0" distR="0" wp14:anchorId="435CC05C" wp14:editId="584C533A">
            <wp:extent cx="1885950" cy="628650"/>
            <wp:effectExtent l="0" t="0" r="0" b="0"/>
            <wp:docPr id="5" name="Obrázek 5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44" cy="6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C7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407FC7">
        <w:rPr>
          <w:rFonts w:asciiTheme="minorHAnsi" w:hAnsiTheme="minorHAnsi" w:cstheme="minorHAnsi"/>
          <w:b/>
          <w:noProof/>
          <w:sz w:val="22"/>
          <w:szCs w:val="22"/>
          <w:lang w:eastAsia="cs-CZ"/>
        </w:rPr>
        <w:drawing>
          <wp:inline distT="0" distB="0" distL="0" distR="0" wp14:anchorId="0321AEB1" wp14:editId="3E376EE1">
            <wp:extent cx="1845013" cy="615315"/>
            <wp:effectExtent l="0" t="0" r="3175" b="0"/>
            <wp:docPr id="8" name="Obrázek 8" descr="C:\Users\Ivo.Chrastecky\Documents\LOGA KZ_ÚK_ PARTNEŘI\Loga KZ_OZ_klinik_pracovišť\Loga nemocnic\loga-oz-D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 KZ_ÚK_ PARTNEŘI\Loga KZ_OZ_klinik_pracovišť\Loga nemocnic\loga-oz-DC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11" cy="6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C7">
        <w:rPr>
          <w:rFonts w:asciiTheme="minorHAnsi" w:hAnsiTheme="minorHAnsi" w:cstheme="minorHAnsi"/>
          <w:b/>
          <w:noProof/>
          <w:sz w:val="22"/>
          <w:szCs w:val="22"/>
          <w:lang w:eastAsia="cs-CZ"/>
        </w:rPr>
        <w:drawing>
          <wp:inline distT="0" distB="0" distL="0" distR="0" wp14:anchorId="6FA57884" wp14:editId="3A0D5B70">
            <wp:extent cx="1884651" cy="628534"/>
            <wp:effectExtent l="0" t="0" r="1905" b="635"/>
            <wp:docPr id="6" name="Obrázek 6" descr="C:\Users\Ivo.Chrastecky\Documents\LOGA KZ_ÚK_ PARTNEŘI\Loga KZ_OZ_klinik_pracovišť\Loga nemocnic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nemocnic\loga-oz-CV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13" cy="6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C5DD" w14:textId="2CE8F6DD" w:rsidR="005F7A22" w:rsidRPr="00407FC7" w:rsidRDefault="00B128F8" w:rsidP="00407FC7">
      <w:pPr>
        <w:pStyle w:val="Prosttext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407FC7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2D79985A" wp14:editId="244630C2">
            <wp:simplePos x="0" y="0"/>
            <wp:positionH relativeFrom="column">
              <wp:posOffset>336550</wp:posOffset>
            </wp:positionH>
            <wp:positionV relativeFrom="paragraph">
              <wp:posOffset>246380</wp:posOffset>
            </wp:positionV>
            <wp:extent cx="532130" cy="542925"/>
            <wp:effectExtent l="0" t="0" r="1270" b="9525"/>
            <wp:wrapSquare wrapText="bothSides"/>
            <wp:docPr id="3" name="Obrázek 3" descr="C:\Users\Ivo.Chrastecky\Documents\LOGA KZ_ÚK_ PARTNEŘI\Ústecký kraj logo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Ústecký kraj logo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99C44" w14:textId="7D9EE2A3" w:rsidR="00D24D3A" w:rsidRDefault="00B128F8" w:rsidP="001764E5">
      <w:pPr>
        <w:pStyle w:val="Prosttext"/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407FC7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 wp14:anchorId="4006B634" wp14:editId="7227337B">
            <wp:extent cx="2559685" cy="421954"/>
            <wp:effectExtent l="0" t="0" r="0" b="0"/>
            <wp:docPr id="4" name="Obrázek 4" descr="C:\Users\Ivo.Chrastecky\AppData\Local\Microsoft\Windows\INetCache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AppData\Local\Microsoft\Windows\INetCache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91" cy="42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9911" w14:textId="77777777" w:rsidR="00F45E43" w:rsidRDefault="00F45E43" w:rsidP="001764E5">
      <w:pPr>
        <w:pStyle w:val="Prosttext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75E2F899" w14:textId="77777777" w:rsidR="00061C37" w:rsidRDefault="00061C37" w:rsidP="004C799B">
      <w:pPr>
        <w:outlineLvl w:val="0"/>
        <w:rPr>
          <w:rFonts w:asciiTheme="minorHAnsi" w:hAnsiTheme="minorHAnsi"/>
          <w:b/>
          <w:noProof/>
          <w:sz w:val="22"/>
          <w:szCs w:val="22"/>
        </w:rPr>
      </w:pPr>
    </w:p>
    <w:p w14:paraId="2CEA147A" w14:textId="11EE27BF" w:rsidR="004C799B" w:rsidRPr="004C799B" w:rsidRDefault="004C799B" w:rsidP="006E2CFA">
      <w:pPr>
        <w:outlineLvl w:val="0"/>
        <w:rPr>
          <w:rStyle w:val="Zdraznn"/>
          <w:rFonts w:asciiTheme="minorHAnsi" w:hAnsiTheme="minorHAnsi" w:cstheme="minorBidi"/>
          <w:i w:val="0"/>
          <w:iCs w:val="0"/>
          <w:noProof/>
          <w:color w:val="333333"/>
          <w:sz w:val="22"/>
          <w:szCs w:val="22"/>
          <w:u w:val="single"/>
          <w:lang w:eastAsia="en-US"/>
        </w:rPr>
      </w:pPr>
      <w:r w:rsidRPr="00BE4BFF">
        <w:rPr>
          <w:rFonts w:asciiTheme="minorHAnsi" w:hAnsiTheme="minorHAnsi"/>
          <w:b/>
          <w:noProof/>
          <w:sz w:val="22"/>
          <w:szCs w:val="22"/>
        </w:rPr>
        <w:t>Zdroj:</w:t>
      </w:r>
      <w:r w:rsidRPr="00BE4BFF">
        <w:rPr>
          <w:rFonts w:asciiTheme="minorHAnsi" w:hAnsiTheme="minorHAnsi"/>
          <w:noProof/>
          <w:sz w:val="22"/>
          <w:szCs w:val="22"/>
        </w:rPr>
        <w:t xml:space="preserve"> </w:t>
      </w:r>
      <w:hyperlink r:id="rId13" w:history="1">
        <w:r w:rsidRPr="00BE4BFF">
          <w:rPr>
            <w:rStyle w:val="Hypertextovodkaz"/>
            <w:rFonts w:asciiTheme="minorHAnsi" w:hAnsiTheme="minorHAnsi"/>
            <w:noProof/>
            <w:sz w:val="22"/>
            <w:szCs w:val="22"/>
          </w:rPr>
          <w:t>info@kzcr.eu</w:t>
        </w:r>
      </w:hyperlink>
    </w:p>
    <w:sectPr w:rsidR="004C799B" w:rsidRPr="004C799B" w:rsidSect="00E2530B">
      <w:headerReference w:type="default" r:id="rId14"/>
      <w:footerReference w:type="default" r:id="rId15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D88C5" w14:textId="77777777" w:rsidR="006961A2" w:rsidRDefault="006961A2">
      <w:r>
        <w:separator/>
      </w:r>
    </w:p>
  </w:endnote>
  <w:endnote w:type="continuationSeparator" w:id="0">
    <w:p w14:paraId="3A5DA501" w14:textId="77777777" w:rsidR="006961A2" w:rsidRDefault="0069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673B" w14:textId="0E5A5D5C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E58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E58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714A0F2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13471BC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C2EC6" w14:textId="77777777" w:rsidR="006961A2" w:rsidRDefault="006961A2">
      <w:r>
        <w:separator/>
      </w:r>
    </w:p>
  </w:footnote>
  <w:footnote w:type="continuationSeparator" w:id="0">
    <w:p w14:paraId="52B049DC" w14:textId="77777777" w:rsidR="006961A2" w:rsidRDefault="0069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0BC6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48BE2A" wp14:editId="2EB41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EB2"/>
    <w:multiLevelType w:val="hybridMultilevel"/>
    <w:tmpl w:val="84C6010A"/>
    <w:lvl w:ilvl="0" w:tplc="3D3C853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A2A7C"/>
    <w:multiLevelType w:val="hybridMultilevel"/>
    <w:tmpl w:val="186C4778"/>
    <w:lvl w:ilvl="0" w:tplc="23EC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7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8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8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B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0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2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6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7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D037AB"/>
    <w:multiLevelType w:val="hybridMultilevel"/>
    <w:tmpl w:val="A75E30AA"/>
    <w:lvl w:ilvl="0" w:tplc="7A2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6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EE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9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4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8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21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F433EC"/>
    <w:multiLevelType w:val="hybridMultilevel"/>
    <w:tmpl w:val="CCB00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41C6A"/>
    <w:multiLevelType w:val="hybridMultilevel"/>
    <w:tmpl w:val="6B864E8A"/>
    <w:lvl w:ilvl="0" w:tplc="88FCA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6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8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C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4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42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D0439E"/>
    <w:multiLevelType w:val="hybridMultilevel"/>
    <w:tmpl w:val="7CDC8C98"/>
    <w:lvl w:ilvl="0" w:tplc="43B00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C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E4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08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E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2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0443A"/>
    <w:rsid w:val="00012711"/>
    <w:rsid w:val="000244CC"/>
    <w:rsid w:val="00034636"/>
    <w:rsid w:val="000403AA"/>
    <w:rsid w:val="00041B2D"/>
    <w:rsid w:val="000478A2"/>
    <w:rsid w:val="000503C0"/>
    <w:rsid w:val="000531A8"/>
    <w:rsid w:val="000534F3"/>
    <w:rsid w:val="0006193A"/>
    <w:rsid w:val="00061C37"/>
    <w:rsid w:val="00067E7E"/>
    <w:rsid w:val="000725C6"/>
    <w:rsid w:val="00080687"/>
    <w:rsid w:val="00083870"/>
    <w:rsid w:val="000940FA"/>
    <w:rsid w:val="00096BE0"/>
    <w:rsid w:val="000A1108"/>
    <w:rsid w:val="000A30D9"/>
    <w:rsid w:val="000A320E"/>
    <w:rsid w:val="000A75BA"/>
    <w:rsid w:val="000B21B4"/>
    <w:rsid w:val="000B290C"/>
    <w:rsid w:val="000B7169"/>
    <w:rsid w:val="000D408D"/>
    <w:rsid w:val="000E0C5C"/>
    <w:rsid w:val="000F11F3"/>
    <w:rsid w:val="00106130"/>
    <w:rsid w:val="0012607F"/>
    <w:rsid w:val="00146101"/>
    <w:rsid w:val="00162457"/>
    <w:rsid w:val="0016582A"/>
    <w:rsid w:val="001668FA"/>
    <w:rsid w:val="001738E7"/>
    <w:rsid w:val="001760B4"/>
    <w:rsid w:val="001764E5"/>
    <w:rsid w:val="00181FF2"/>
    <w:rsid w:val="001848B7"/>
    <w:rsid w:val="00185A9F"/>
    <w:rsid w:val="00193E8D"/>
    <w:rsid w:val="00193F7E"/>
    <w:rsid w:val="00197A00"/>
    <w:rsid w:val="001A12F2"/>
    <w:rsid w:val="001A4A84"/>
    <w:rsid w:val="001A6440"/>
    <w:rsid w:val="001B1390"/>
    <w:rsid w:val="001E15E6"/>
    <w:rsid w:val="001E28FD"/>
    <w:rsid w:val="001E2DF9"/>
    <w:rsid w:val="001E51E2"/>
    <w:rsid w:val="001F3A73"/>
    <w:rsid w:val="00206076"/>
    <w:rsid w:val="00212614"/>
    <w:rsid w:val="00220643"/>
    <w:rsid w:val="00223C42"/>
    <w:rsid w:val="002268E0"/>
    <w:rsid w:val="00227E54"/>
    <w:rsid w:val="00243398"/>
    <w:rsid w:val="002444BA"/>
    <w:rsid w:val="00252DFD"/>
    <w:rsid w:val="0025325D"/>
    <w:rsid w:val="00255DCC"/>
    <w:rsid w:val="002701EA"/>
    <w:rsid w:val="00271EC8"/>
    <w:rsid w:val="00275C64"/>
    <w:rsid w:val="00281BDD"/>
    <w:rsid w:val="0028269B"/>
    <w:rsid w:val="00283D4C"/>
    <w:rsid w:val="00284A31"/>
    <w:rsid w:val="00285C4D"/>
    <w:rsid w:val="002918B6"/>
    <w:rsid w:val="002A17D1"/>
    <w:rsid w:val="002A1845"/>
    <w:rsid w:val="002A5AB1"/>
    <w:rsid w:val="002B0317"/>
    <w:rsid w:val="002B1D61"/>
    <w:rsid w:val="002C0E76"/>
    <w:rsid w:val="002C1FF4"/>
    <w:rsid w:val="002C276B"/>
    <w:rsid w:val="002C41BA"/>
    <w:rsid w:val="002E261D"/>
    <w:rsid w:val="002F0E8E"/>
    <w:rsid w:val="00300350"/>
    <w:rsid w:val="0030393F"/>
    <w:rsid w:val="003149AB"/>
    <w:rsid w:val="003156E3"/>
    <w:rsid w:val="00316EF7"/>
    <w:rsid w:val="0032444E"/>
    <w:rsid w:val="00333DE8"/>
    <w:rsid w:val="00335FF4"/>
    <w:rsid w:val="0035184F"/>
    <w:rsid w:val="003543C8"/>
    <w:rsid w:val="0035672E"/>
    <w:rsid w:val="00365C49"/>
    <w:rsid w:val="003800B9"/>
    <w:rsid w:val="00380119"/>
    <w:rsid w:val="0039176F"/>
    <w:rsid w:val="003A5336"/>
    <w:rsid w:val="003C2AC8"/>
    <w:rsid w:val="003C3B44"/>
    <w:rsid w:val="003C4372"/>
    <w:rsid w:val="003C4FA9"/>
    <w:rsid w:val="003C6B81"/>
    <w:rsid w:val="003D3411"/>
    <w:rsid w:val="003D775B"/>
    <w:rsid w:val="003E3C9B"/>
    <w:rsid w:val="003F6033"/>
    <w:rsid w:val="003F7F07"/>
    <w:rsid w:val="00400DED"/>
    <w:rsid w:val="00407FC7"/>
    <w:rsid w:val="00410C55"/>
    <w:rsid w:val="004238E9"/>
    <w:rsid w:val="004272C9"/>
    <w:rsid w:val="0045116A"/>
    <w:rsid w:val="004515D1"/>
    <w:rsid w:val="00455CED"/>
    <w:rsid w:val="00461205"/>
    <w:rsid w:val="0046794E"/>
    <w:rsid w:val="0047054F"/>
    <w:rsid w:val="00472A06"/>
    <w:rsid w:val="00480EFE"/>
    <w:rsid w:val="00482845"/>
    <w:rsid w:val="00482B98"/>
    <w:rsid w:val="004912C8"/>
    <w:rsid w:val="00492568"/>
    <w:rsid w:val="004A4AEE"/>
    <w:rsid w:val="004C2749"/>
    <w:rsid w:val="004C799B"/>
    <w:rsid w:val="004D3CF1"/>
    <w:rsid w:val="004D4750"/>
    <w:rsid w:val="004D5609"/>
    <w:rsid w:val="004E1AF3"/>
    <w:rsid w:val="004E58E2"/>
    <w:rsid w:val="004F0AA0"/>
    <w:rsid w:val="004F4C40"/>
    <w:rsid w:val="004F69FE"/>
    <w:rsid w:val="00513EA2"/>
    <w:rsid w:val="00514837"/>
    <w:rsid w:val="00515A70"/>
    <w:rsid w:val="005213E3"/>
    <w:rsid w:val="00521565"/>
    <w:rsid w:val="00534942"/>
    <w:rsid w:val="00536E4E"/>
    <w:rsid w:val="00541CAD"/>
    <w:rsid w:val="0055134D"/>
    <w:rsid w:val="00552347"/>
    <w:rsid w:val="005551E4"/>
    <w:rsid w:val="00567A8C"/>
    <w:rsid w:val="005723B3"/>
    <w:rsid w:val="00575E79"/>
    <w:rsid w:val="00580933"/>
    <w:rsid w:val="00582C8C"/>
    <w:rsid w:val="00597054"/>
    <w:rsid w:val="005B7231"/>
    <w:rsid w:val="005D5B16"/>
    <w:rsid w:val="005E2EA2"/>
    <w:rsid w:val="005E734D"/>
    <w:rsid w:val="005E7AAD"/>
    <w:rsid w:val="005F0D72"/>
    <w:rsid w:val="005F4377"/>
    <w:rsid w:val="005F4971"/>
    <w:rsid w:val="005F7A22"/>
    <w:rsid w:val="00600A2A"/>
    <w:rsid w:val="00603567"/>
    <w:rsid w:val="00605CD6"/>
    <w:rsid w:val="0061147E"/>
    <w:rsid w:val="00614E26"/>
    <w:rsid w:val="0063426F"/>
    <w:rsid w:val="0065481E"/>
    <w:rsid w:val="006579B7"/>
    <w:rsid w:val="00663F28"/>
    <w:rsid w:val="00666924"/>
    <w:rsid w:val="00686275"/>
    <w:rsid w:val="006961A2"/>
    <w:rsid w:val="006A180C"/>
    <w:rsid w:val="006C12A9"/>
    <w:rsid w:val="006C38AC"/>
    <w:rsid w:val="006C47B8"/>
    <w:rsid w:val="006C7BA2"/>
    <w:rsid w:val="006D219C"/>
    <w:rsid w:val="006E121B"/>
    <w:rsid w:val="006E2A20"/>
    <w:rsid w:val="006E2CFA"/>
    <w:rsid w:val="006F4C71"/>
    <w:rsid w:val="006F5472"/>
    <w:rsid w:val="006F7FB2"/>
    <w:rsid w:val="00701AC0"/>
    <w:rsid w:val="00703458"/>
    <w:rsid w:val="00712148"/>
    <w:rsid w:val="007160E1"/>
    <w:rsid w:val="007177B7"/>
    <w:rsid w:val="00734CDA"/>
    <w:rsid w:val="00735F39"/>
    <w:rsid w:val="00741C5B"/>
    <w:rsid w:val="0075197A"/>
    <w:rsid w:val="00761604"/>
    <w:rsid w:val="00771B4B"/>
    <w:rsid w:val="00771E76"/>
    <w:rsid w:val="007766AA"/>
    <w:rsid w:val="00776F15"/>
    <w:rsid w:val="00782D29"/>
    <w:rsid w:val="00786DC1"/>
    <w:rsid w:val="007938D2"/>
    <w:rsid w:val="00795F01"/>
    <w:rsid w:val="007A27AC"/>
    <w:rsid w:val="007B0270"/>
    <w:rsid w:val="007B2CCE"/>
    <w:rsid w:val="007D36A3"/>
    <w:rsid w:val="007D37F1"/>
    <w:rsid w:val="007D7A5E"/>
    <w:rsid w:val="007E61DF"/>
    <w:rsid w:val="007F790C"/>
    <w:rsid w:val="0080714A"/>
    <w:rsid w:val="00820430"/>
    <w:rsid w:val="00825673"/>
    <w:rsid w:val="00827DAE"/>
    <w:rsid w:val="00832009"/>
    <w:rsid w:val="00841DDD"/>
    <w:rsid w:val="008534FA"/>
    <w:rsid w:val="00874BC8"/>
    <w:rsid w:val="008A33B2"/>
    <w:rsid w:val="008C5BCE"/>
    <w:rsid w:val="008C6D39"/>
    <w:rsid w:val="008E0E11"/>
    <w:rsid w:val="008E16D0"/>
    <w:rsid w:val="008F2622"/>
    <w:rsid w:val="00907D72"/>
    <w:rsid w:val="00920C92"/>
    <w:rsid w:val="00932179"/>
    <w:rsid w:val="00935368"/>
    <w:rsid w:val="00941BC1"/>
    <w:rsid w:val="00951349"/>
    <w:rsid w:val="009528A3"/>
    <w:rsid w:val="00960BC1"/>
    <w:rsid w:val="0097080F"/>
    <w:rsid w:val="00974A44"/>
    <w:rsid w:val="00974CAF"/>
    <w:rsid w:val="00981950"/>
    <w:rsid w:val="009826B6"/>
    <w:rsid w:val="00994279"/>
    <w:rsid w:val="009A0860"/>
    <w:rsid w:val="009A28BD"/>
    <w:rsid w:val="009A6213"/>
    <w:rsid w:val="009C039C"/>
    <w:rsid w:val="009C25D6"/>
    <w:rsid w:val="009D0014"/>
    <w:rsid w:val="009D08D7"/>
    <w:rsid w:val="009E5790"/>
    <w:rsid w:val="009E6A9A"/>
    <w:rsid w:val="009F2102"/>
    <w:rsid w:val="009F6342"/>
    <w:rsid w:val="00A0192F"/>
    <w:rsid w:val="00A17C04"/>
    <w:rsid w:val="00A459F3"/>
    <w:rsid w:val="00A512E6"/>
    <w:rsid w:val="00A546C3"/>
    <w:rsid w:val="00A5612F"/>
    <w:rsid w:val="00A57644"/>
    <w:rsid w:val="00A62B36"/>
    <w:rsid w:val="00A66C65"/>
    <w:rsid w:val="00A83273"/>
    <w:rsid w:val="00A93971"/>
    <w:rsid w:val="00AA73AB"/>
    <w:rsid w:val="00AB217F"/>
    <w:rsid w:val="00AB5829"/>
    <w:rsid w:val="00AB6844"/>
    <w:rsid w:val="00AB6878"/>
    <w:rsid w:val="00AB6954"/>
    <w:rsid w:val="00AC7D4A"/>
    <w:rsid w:val="00AD0940"/>
    <w:rsid w:val="00AD2313"/>
    <w:rsid w:val="00AE2039"/>
    <w:rsid w:val="00AE21AD"/>
    <w:rsid w:val="00AF39F6"/>
    <w:rsid w:val="00AF3D81"/>
    <w:rsid w:val="00AF4A6A"/>
    <w:rsid w:val="00AF4A9E"/>
    <w:rsid w:val="00B071B5"/>
    <w:rsid w:val="00B11477"/>
    <w:rsid w:val="00B128F8"/>
    <w:rsid w:val="00B132F5"/>
    <w:rsid w:val="00B32A02"/>
    <w:rsid w:val="00B32ABA"/>
    <w:rsid w:val="00B32DD2"/>
    <w:rsid w:val="00B6244A"/>
    <w:rsid w:val="00B6541E"/>
    <w:rsid w:val="00B6604F"/>
    <w:rsid w:val="00B71BAB"/>
    <w:rsid w:val="00B72645"/>
    <w:rsid w:val="00B727AE"/>
    <w:rsid w:val="00B82E82"/>
    <w:rsid w:val="00BB60B7"/>
    <w:rsid w:val="00BC338F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3D52"/>
    <w:rsid w:val="00C2614E"/>
    <w:rsid w:val="00C26186"/>
    <w:rsid w:val="00C35BCE"/>
    <w:rsid w:val="00C40CF9"/>
    <w:rsid w:val="00C41D1C"/>
    <w:rsid w:val="00C50A4D"/>
    <w:rsid w:val="00C515BE"/>
    <w:rsid w:val="00C52A84"/>
    <w:rsid w:val="00C65FD2"/>
    <w:rsid w:val="00C754E5"/>
    <w:rsid w:val="00C83D90"/>
    <w:rsid w:val="00C84122"/>
    <w:rsid w:val="00C90242"/>
    <w:rsid w:val="00C906EE"/>
    <w:rsid w:val="00CA1855"/>
    <w:rsid w:val="00CB374F"/>
    <w:rsid w:val="00CC01FA"/>
    <w:rsid w:val="00CC2A15"/>
    <w:rsid w:val="00CD2266"/>
    <w:rsid w:val="00CD4814"/>
    <w:rsid w:val="00CD60AD"/>
    <w:rsid w:val="00CD71B8"/>
    <w:rsid w:val="00CF201F"/>
    <w:rsid w:val="00CF21CA"/>
    <w:rsid w:val="00CF30CE"/>
    <w:rsid w:val="00D06C45"/>
    <w:rsid w:val="00D15657"/>
    <w:rsid w:val="00D15DFD"/>
    <w:rsid w:val="00D22D2A"/>
    <w:rsid w:val="00D24D3A"/>
    <w:rsid w:val="00D50E7B"/>
    <w:rsid w:val="00D60B5B"/>
    <w:rsid w:val="00D64238"/>
    <w:rsid w:val="00D65097"/>
    <w:rsid w:val="00D66CDD"/>
    <w:rsid w:val="00D74189"/>
    <w:rsid w:val="00D8121E"/>
    <w:rsid w:val="00D81F87"/>
    <w:rsid w:val="00D924DC"/>
    <w:rsid w:val="00D97DCE"/>
    <w:rsid w:val="00DA0DAD"/>
    <w:rsid w:val="00DA704F"/>
    <w:rsid w:val="00DB0318"/>
    <w:rsid w:val="00DB504B"/>
    <w:rsid w:val="00DE626C"/>
    <w:rsid w:val="00DF686B"/>
    <w:rsid w:val="00E0275E"/>
    <w:rsid w:val="00E038A3"/>
    <w:rsid w:val="00E06D4D"/>
    <w:rsid w:val="00E11201"/>
    <w:rsid w:val="00E164FB"/>
    <w:rsid w:val="00E214CA"/>
    <w:rsid w:val="00E24DE2"/>
    <w:rsid w:val="00E2530B"/>
    <w:rsid w:val="00E43B12"/>
    <w:rsid w:val="00E61D1D"/>
    <w:rsid w:val="00E71597"/>
    <w:rsid w:val="00E727B4"/>
    <w:rsid w:val="00E81B10"/>
    <w:rsid w:val="00EB46CD"/>
    <w:rsid w:val="00EB5C3C"/>
    <w:rsid w:val="00EC2B7B"/>
    <w:rsid w:val="00EC509A"/>
    <w:rsid w:val="00ED5218"/>
    <w:rsid w:val="00ED669A"/>
    <w:rsid w:val="00EE4755"/>
    <w:rsid w:val="00EF3235"/>
    <w:rsid w:val="00F0587F"/>
    <w:rsid w:val="00F066B9"/>
    <w:rsid w:val="00F20653"/>
    <w:rsid w:val="00F35150"/>
    <w:rsid w:val="00F44088"/>
    <w:rsid w:val="00F45E43"/>
    <w:rsid w:val="00F5022E"/>
    <w:rsid w:val="00F51179"/>
    <w:rsid w:val="00F53A40"/>
    <w:rsid w:val="00F85572"/>
    <w:rsid w:val="00FA27F3"/>
    <w:rsid w:val="00FA291F"/>
    <w:rsid w:val="00FA292B"/>
    <w:rsid w:val="00FB163A"/>
    <w:rsid w:val="00FB6CF6"/>
    <w:rsid w:val="00FC4114"/>
    <w:rsid w:val="00FC7EC1"/>
    <w:rsid w:val="00FD0C49"/>
    <w:rsid w:val="00FD1FE7"/>
    <w:rsid w:val="00FE402A"/>
    <w:rsid w:val="00FE770E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D2683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46C3"/>
    <w:rPr>
      <w:rFonts w:ascii="Times New Roman" w:eastAsiaTheme="minorHAnsi" w:hAnsi="Times New Roman"/>
      <w:sz w:val="24"/>
    </w:rPr>
  </w:style>
  <w:style w:type="character" w:styleId="Odkaznakoment">
    <w:name w:val="annotation reference"/>
    <w:basedOn w:val="Standardnpsmoodstavce"/>
    <w:rsid w:val="006548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48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5481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54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481E"/>
    <w:rPr>
      <w:rFonts w:ascii="Arial" w:hAnsi="Arial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41BC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41BC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445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7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633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80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kzc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1AA5-4E8E-4576-A862-F9E5A62B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904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16</cp:revision>
  <cp:lastPrinted>2022-10-03T12:16:00Z</cp:lastPrinted>
  <dcterms:created xsi:type="dcterms:W3CDTF">2022-06-21T10:39:00Z</dcterms:created>
  <dcterms:modified xsi:type="dcterms:W3CDTF">2022-10-03T12:17:00Z</dcterms:modified>
</cp:coreProperties>
</file>